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EEC6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What is the backup process for students after travel?</w:t>
      </w:r>
    </w:p>
    <w:p w14:paraId="5EEDF4CC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Receipt requirements follow G-28 policy.</w:t>
      </w:r>
    </w:p>
    <w:p w14:paraId="69D53243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Expenses of $75 or more require receipts.</w:t>
      </w:r>
    </w:p>
    <w:p w14:paraId="32F633B8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Conference registration and lodging, regardless of amount, require itemized receipts.</w:t>
      </w:r>
    </w:p>
    <w:p w14:paraId="2A2AEB98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If travel is charged to grant funding, coordinate with the grant administrator for receipt requirements.</w:t>
      </w:r>
    </w:p>
    <w:p w14:paraId="4B9CE036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The department is responsible for collecting receipts from students upon their return.</w:t>
      </w:r>
    </w:p>
    <w:p w14:paraId="5C526815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How soon before travel can the instant card be activated?</w:t>
      </w:r>
    </w:p>
    <w:p w14:paraId="606FE01E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Once Travel &amp; Expense Management receives completed documents (Cardholder Agreement and Sponsored Guest Form), the card can be issued immediately.</w:t>
      </w:r>
    </w:p>
    <w:p w14:paraId="3EF5CDB8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Contact for early activation; alternative payment methods may be available for specific reasons (e.g., conference registration, hotels).</w:t>
      </w:r>
    </w:p>
    <w:p w14:paraId="76E1D81E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What is the maximum amount that can be placed on an instant card?</w:t>
      </w:r>
    </w:p>
    <w:p w14:paraId="512CF3A7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The card limit is set by the department.</w:t>
      </w:r>
    </w:p>
    <w:p w14:paraId="448C3824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Consider daily meal limits ($79/day), taxis/ground transportation, lodging, and other travel costs when setting the limit.</w:t>
      </w:r>
    </w:p>
    <w:p w14:paraId="52529B30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What cannot be purchased with an instant card?</w:t>
      </w:r>
    </w:p>
    <w:p w14:paraId="46185FAC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Unallowable expenses include rental vehicles, airfare, and personal items (toiletries, phone charges, clothing, etc.).</w:t>
      </w:r>
    </w:p>
    <w:p w14:paraId="301B1E28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Since the flight is not allowable on the instant card, is it to be purchased through Service Now?</w:t>
      </w:r>
    </w:p>
    <w:p w14:paraId="1B60A1C0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Submit a request to CBS2 through Service Now for airfare expenses. They will create the Request ID, book the flight, and reconcile expenses accordingly.</w:t>
      </w:r>
    </w:p>
    <w:p w14:paraId="652A0596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Does the flight need to be connected to the instant card in the Service Now ticket?</w:t>
      </w:r>
    </w:p>
    <w:p w14:paraId="1825263C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No, flights booked through Concur by CBS2 are purchased via Direct Bill.</w:t>
      </w:r>
    </w:p>
    <w:p w14:paraId="64387DFF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Is the instant card different when using grant funding?</w:t>
      </w:r>
    </w:p>
    <w:p w14:paraId="6646944C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The only difference is if the grant has different spending limits, allowable expenses, or receipt requirements than outlined in the G-28 policy.</w:t>
      </w:r>
    </w:p>
    <w:p w14:paraId="3CB420B2" w14:textId="77777777" w:rsidR="005B1D07" w:rsidRPr="005B1D07" w:rsidRDefault="005B1D07" w:rsidP="005B1D07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5B1D07">
        <w:rPr>
          <w:i/>
          <w:iCs/>
          <w:sz w:val="20"/>
          <w:szCs w:val="20"/>
          <w:u w:val="single"/>
        </w:rPr>
        <w:t>Are grant-funded projects able to make use of the instant card?</w:t>
      </w:r>
    </w:p>
    <w:p w14:paraId="65571485" w14:textId="77777777" w:rsidR="005B1D07" w:rsidRPr="005B1D07" w:rsidRDefault="005B1D07" w:rsidP="005B1D07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Yes, if the grant allows reimbursement of travel expenses, the Instant Card can be used.</w:t>
      </w:r>
    </w:p>
    <w:p w14:paraId="655E1EF4" w14:textId="17FD352D" w:rsidR="003854D2" w:rsidRDefault="005B1D07" w:rsidP="00C824DD">
      <w:pPr>
        <w:numPr>
          <w:ilvl w:val="1"/>
          <w:numId w:val="1"/>
        </w:numPr>
        <w:rPr>
          <w:sz w:val="20"/>
          <w:szCs w:val="20"/>
        </w:rPr>
      </w:pPr>
      <w:r w:rsidRPr="005B1D07">
        <w:rPr>
          <w:sz w:val="20"/>
          <w:szCs w:val="20"/>
        </w:rPr>
        <w:t>Confirm with the grant administrator for allowances and restrictions.</w:t>
      </w:r>
    </w:p>
    <w:p w14:paraId="295BC780" w14:textId="3C4D28B0" w:rsidR="00C824DD" w:rsidRPr="00C824DD" w:rsidRDefault="00C824DD" w:rsidP="00C824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Who is responsible for the reconciliation?</w:t>
      </w:r>
    </w:p>
    <w:p w14:paraId="71F70139" w14:textId="6C8CC875" w:rsidR="00C824DD" w:rsidRDefault="00150335" w:rsidP="00C824D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department must submit an expense report </w:t>
      </w:r>
      <w:r w:rsidR="005130AB">
        <w:rPr>
          <w:sz w:val="20"/>
          <w:szCs w:val="20"/>
        </w:rPr>
        <w:t xml:space="preserve">in Concur </w:t>
      </w:r>
      <w:r>
        <w:rPr>
          <w:sz w:val="20"/>
          <w:szCs w:val="20"/>
        </w:rPr>
        <w:t>within 45 days after travel ends.</w:t>
      </w:r>
    </w:p>
    <w:p w14:paraId="7BA428D2" w14:textId="22C7398E" w:rsidR="00EB4123" w:rsidRPr="00D32FFF" w:rsidRDefault="00150335" w:rsidP="005B1D0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ticket can be submitted to CBS2 </w:t>
      </w:r>
      <w:r w:rsidR="00421236">
        <w:rPr>
          <w:sz w:val="20"/>
          <w:szCs w:val="20"/>
        </w:rPr>
        <w:t>for processing</w:t>
      </w:r>
      <w:r w:rsidR="00595DD2">
        <w:rPr>
          <w:sz w:val="20"/>
          <w:szCs w:val="20"/>
        </w:rPr>
        <w:t>.</w:t>
      </w:r>
    </w:p>
    <w:sectPr w:rsidR="00EB4123" w:rsidRPr="00D3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046"/>
    <w:multiLevelType w:val="hybridMultilevel"/>
    <w:tmpl w:val="92069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46E24"/>
    <w:multiLevelType w:val="multilevel"/>
    <w:tmpl w:val="50E0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237878">
    <w:abstractNumId w:val="1"/>
  </w:num>
  <w:num w:numId="2" w16cid:durableId="20053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07"/>
    <w:rsid w:val="00150335"/>
    <w:rsid w:val="00165EFE"/>
    <w:rsid w:val="003854D2"/>
    <w:rsid w:val="00421236"/>
    <w:rsid w:val="005130AB"/>
    <w:rsid w:val="00595DD2"/>
    <w:rsid w:val="005B1D07"/>
    <w:rsid w:val="006071F7"/>
    <w:rsid w:val="006F5133"/>
    <w:rsid w:val="00C824DD"/>
    <w:rsid w:val="00D32FFF"/>
    <w:rsid w:val="00E52F71"/>
    <w:rsid w:val="00E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5948B"/>
  <w15:chartTrackingRefBased/>
  <w15:docId w15:val="{8C4D0AFB-A4BB-416C-BC16-916BBB73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1898</Characters>
  <Application>Microsoft Office Word</Application>
  <DocSecurity>0</DocSecurity>
  <Lines>43</Lines>
  <Paragraphs>27</Paragraphs>
  <ScaleCrop>false</ScaleCrop>
  <Company>University of California Merced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England</dc:creator>
  <cp:keywords/>
  <dc:description/>
  <cp:lastModifiedBy>Jessica Johnston</cp:lastModifiedBy>
  <cp:revision>2</cp:revision>
  <dcterms:created xsi:type="dcterms:W3CDTF">2024-01-24T16:43:00Z</dcterms:created>
  <dcterms:modified xsi:type="dcterms:W3CDTF">2024-01-24T16:43:00Z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e56b7e68-66b4-4c5e-81fc-1e681be44748</vt:lpwstr>
  </property>
</Properties>
</file>